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B9" w:rsidRPr="002943B9" w:rsidRDefault="002943B9" w:rsidP="002943B9">
      <w:pPr>
        <w:keepNext/>
        <w:keepLines/>
        <w:pageBreakBefore/>
        <w:widowControl w:val="0"/>
        <w:tabs>
          <w:tab w:val="left" w:pos="426"/>
          <w:tab w:val="num" w:pos="568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bookmarkStart w:id="0" w:name="_Ref305973574"/>
      <w:bookmarkStart w:id="1" w:name="_Toc415730367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>Проект Договора</w:t>
      </w:r>
      <w:bookmarkEnd w:id="0"/>
      <w:bookmarkEnd w:id="1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bookmarkStart w:id="2" w:name="_Toc196625636"/>
      <w:bookmarkStart w:id="3" w:name="_Toc196823954"/>
      <w:bookmarkStart w:id="4" w:name="_Toc234385866"/>
      <w:bookmarkStart w:id="5" w:name="_Toc235861707"/>
      <w:bookmarkStart w:id="6" w:name="_Toc254176582"/>
      <w:bookmarkStart w:id="7" w:name="_Toc255985704"/>
      <w:bookmarkStart w:id="8" w:name="_Toc254176583"/>
      <w:bookmarkStart w:id="9" w:name="_Toc255985705"/>
      <w:bookmarkStart w:id="10" w:name="_Toc254176584"/>
      <w:bookmarkStart w:id="11" w:name="_Toc255985706"/>
      <w:bookmarkStart w:id="12" w:name="_Toc254176589"/>
      <w:bookmarkStart w:id="13" w:name="_Toc255985711"/>
      <w:bookmarkStart w:id="14" w:name="_Toc254176602"/>
      <w:bookmarkStart w:id="15" w:name="_Toc255985724"/>
      <w:bookmarkStart w:id="16" w:name="_Toc254176609"/>
      <w:bookmarkStart w:id="17" w:name="_Toc255985731"/>
      <w:bookmarkStart w:id="18" w:name="_Toc254176611"/>
      <w:bookmarkStart w:id="19" w:name="_Toc255985733"/>
      <w:bookmarkStart w:id="20" w:name="_Toc254176621"/>
      <w:bookmarkStart w:id="21" w:name="_Toc255985743"/>
      <w:bookmarkStart w:id="22" w:name="_Toc254176624"/>
      <w:bookmarkStart w:id="23" w:name="_Toc255985746"/>
      <w:bookmarkStart w:id="24" w:name="_Toc254176633"/>
      <w:bookmarkStart w:id="25" w:name="_Toc255985755"/>
      <w:bookmarkStart w:id="26" w:name="_Toc254176635"/>
      <w:bookmarkStart w:id="27" w:name="_Toc255985757"/>
      <w:bookmarkStart w:id="28" w:name="_Toc254176638"/>
      <w:bookmarkStart w:id="29" w:name="_Toc255985760"/>
      <w:bookmarkStart w:id="30" w:name="_Toc254176639"/>
      <w:bookmarkStart w:id="31" w:name="_Toc255985761"/>
      <w:bookmarkStart w:id="32" w:name="_Toc254176645"/>
      <w:bookmarkStart w:id="33" w:name="_Toc255985767"/>
      <w:bookmarkStart w:id="34" w:name="_Toc254176648"/>
      <w:bookmarkStart w:id="35" w:name="_Toc255985770"/>
      <w:bookmarkStart w:id="36" w:name="_Toc254176674"/>
      <w:bookmarkStart w:id="37" w:name="_Toc255985796"/>
      <w:bookmarkStart w:id="38" w:name="_Toc254176683"/>
      <w:bookmarkStart w:id="39" w:name="_Toc255985805"/>
      <w:bookmarkStart w:id="40" w:name="_Toc254176691"/>
      <w:bookmarkStart w:id="41" w:name="_Toc255985813"/>
      <w:bookmarkStart w:id="42" w:name="_Toc254176700"/>
      <w:bookmarkStart w:id="43" w:name="_Toc255985822"/>
      <w:bookmarkStart w:id="44" w:name="_Toc254176709"/>
      <w:bookmarkStart w:id="45" w:name="_Toc255985831"/>
      <w:bookmarkStart w:id="46" w:name="_Toc254176710"/>
      <w:bookmarkStart w:id="47" w:name="_Toc255985832"/>
      <w:bookmarkStart w:id="48" w:name="_Toc254176725"/>
      <w:bookmarkStart w:id="49" w:name="_Toc255985847"/>
      <w:bookmarkStart w:id="50" w:name="_Toc254176736"/>
      <w:bookmarkStart w:id="51" w:name="_Toc255985858"/>
      <w:bookmarkStart w:id="52" w:name="_Toc254176743"/>
      <w:bookmarkStart w:id="53" w:name="_Toc255985865"/>
      <w:bookmarkStart w:id="54" w:name="_Toc254176749"/>
      <w:bookmarkStart w:id="55" w:name="_Toc255985871"/>
      <w:bookmarkStart w:id="56" w:name="_Toc254176751"/>
      <w:bookmarkStart w:id="57" w:name="_Toc255985873"/>
      <w:bookmarkStart w:id="58" w:name="_Toc254176766"/>
      <w:bookmarkStart w:id="59" w:name="_Toc255985888"/>
      <w:bookmarkStart w:id="60" w:name="_Toc254176768"/>
      <w:bookmarkStart w:id="61" w:name="_Toc255985890"/>
      <w:bookmarkStart w:id="62" w:name="_Toc254176772"/>
      <w:bookmarkStart w:id="63" w:name="_Toc255985894"/>
      <w:bookmarkStart w:id="64" w:name="_Toc254176776"/>
      <w:bookmarkStart w:id="65" w:name="_Toc255985898"/>
      <w:bookmarkStart w:id="66" w:name="_Toc254176791"/>
      <w:bookmarkStart w:id="67" w:name="_Toc255985913"/>
      <w:bookmarkStart w:id="68" w:name="_Toc254176803"/>
      <w:bookmarkStart w:id="69" w:name="_Toc255985925"/>
      <w:bookmarkStart w:id="70" w:name="_Toc254176822"/>
      <w:bookmarkStart w:id="71" w:name="_Toc255985944"/>
      <w:bookmarkStart w:id="72" w:name="_Toc254176823"/>
      <w:bookmarkStart w:id="73" w:name="_Toc255985945"/>
      <w:bookmarkStart w:id="74" w:name="_Toc254176826"/>
      <w:bookmarkStart w:id="75" w:name="_Toc255985948"/>
      <w:bookmarkStart w:id="76" w:name="_Toc254176827"/>
      <w:bookmarkStart w:id="77" w:name="_Toc255985949"/>
      <w:bookmarkStart w:id="78" w:name="_Toc254176832"/>
      <w:bookmarkStart w:id="79" w:name="_Toc255985954"/>
      <w:bookmarkStart w:id="80" w:name="_Toc254176851"/>
      <w:bookmarkStart w:id="81" w:name="_Toc255985973"/>
      <w:bookmarkStart w:id="82" w:name="_Toc254176853"/>
      <w:bookmarkStart w:id="83" w:name="_Toc255985975"/>
      <w:bookmarkStart w:id="84" w:name="_Toc254176858"/>
      <w:bookmarkStart w:id="85" w:name="_Toc255985980"/>
      <w:bookmarkStart w:id="86" w:name="_Toc254176861"/>
      <w:bookmarkStart w:id="87" w:name="_Toc255985983"/>
      <w:bookmarkStart w:id="88" w:name="_Toc254176868"/>
      <w:bookmarkStart w:id="89" w:name="_Toc255985990"/>
      <w:bookmarkStart w:id="90" w:name="_Toc254176869"/>
      <w:bookmarkStart w:id="91" w:name="_Toc255985991"/>
      <w:bookmarkStart w:id="92" w:name="_Toc254176874"/>
      <w:bookmarkStart w:id="93" w:name="_Toc255985996"/>
      <w:bookmarkStart w:id="94" w:name="_Toc254176875"/>
      <w:bookmarkStart w:id="95" w:name="_Toc255985997"/>
      <w:bookmarkStart w:id="96" w:name="_Toc254176880"/>
      <w:bookmarkStart w:id="97" w:name="_Toc255986002"/>
      <w:bookmarkStart w:id="98" w:name="_Toc254176881"/>
      <w:bookmarkStart w:id="99" w:name="_Toc255986003"/>
      <w:bookmarkStart w:id="100" w:name="_Toc254176922"/>
      <w:bookmarkStart w:id="101" w:name="_Toc255986044"/>
      <w:bookmarkStart w:id="102" w:name="_Toc254176925"/>
      <w:bookmarkStart w:id="103" w:name="_Toc255986047"/>
      <w:bookmarkStart w:id="104" w:name="_Toc254176926"/>
      <w:bookmarkStart w:id="105" w:name="_Toc255986048"/>
      <w:bookmarkStart w:id="106" w:name="_Toc254176939"/>
      <w:bookmarkStart w:id="107" w:name="_Toc255986061"/>
      <w:bookmarkStart w:id="108" w:name="_Toc254176953"/>
      <w:bookmarkStart w:id="109" w:name="_Toc255986075"/>
      <w:bookmarkStart w:id="110" w:name="_Toc254176962"/>
      <w:bookmarkStart w:id="111" w:name="_Toc255986084"/>
      <w:bookmarkStart w:id="112" w:name="_Toc254176963"/>
      <w:bookmarkStart w:id="113" w:name="_Toc255986085"/>
      <w:bookmarkStart w:id="114" w:name="_Toc254176992"/>
      <w:bookmarkStart w:id="115" w:name="_Toc255986114"/>
      <w:bookmarkStart w:id="116" w:name="_Toc254177022"/>
      <w:bookmarkStart w:id="117" w:name="_Toc255986144"/>
      <w:bookmarkStart w:id="118" w:name="_Toc254177026"/>
      <w:bookmarkStart w:id="119" w:name="_Toc255986148"/>
      <w:bookmarkStart w:id="120" w:name="_Toc254177027"/>
      <w:bookmarkStart w:id="121" w:name="_Toc255986149"/>
      <w:bookmarkStart w:id="122" w:name="_Toc254177029"/>
      <w:bookmarkStart w:id="123" w:name="_Toc255986151"/>
      <w:bookmarkStart w:id="124" w:name="_Toc254177038"/>
      <w:bookmarkStart w:id="125" w:name="_Toc255986160"/>
      <w:bookmarkStart w:id="126" w:name="_Toc254177039"/>
      <w:bookmarkStart w:id="127" w:name="_Toc255986161"/>
      <w:bookmarkStart w:id="128" w:name="_Toc254177040"/>
      <w:bookmarkStart w:id="129" w:name="_Toc255986162"/>
      <w:bookmarkStart w:id="130" w:name="_Toc254177086"/>
      <w:bookmarkStart w:id="131" w:name="_Toc255986208"/>
      <w:bookmarkStart w:id="132" w:name="_Toc254177087"/>
      <w:bookmarkStart w:id="133" w:name="_Toc255986209"/>
      <w:bookmarkStart w:id="134" w:name="_Toc254177089"/>
      <w:bookmarkStart w:id="135" w:name="_Toc255986211"/>
      <w:bookmarkStart w:id="136" w:name="_Toc254177095"/>
      <w:bookmarkStart w:id="137" w:name="_Toc255986217"/>
      <w:bookmarkStart w:id="138" w:name="_Toc254177096"/>
      <w:bookmarkStart w:id="139" w:name="_Toc255986218"/>
      <w:bookmarkStart w:id="140" w:name="_Toc254177099"/>
      <w:bookmarkStart w:id="141" w:name="_Toc255986221"/>
      <w:bookmarkStart w:id="142" w:name="_Toc254177100"/>
      <w:bookmarkStart w:id="143" w:name="_Toc255986222"/>
      <w:bookmarkStart w:id="144" w:name="_Toc254177101"/>
      <w:bookmarkStart w:id="145" w:name="_Toc255986223"/>
      <w:bookmarkStart w:id="146" w:name="_Toc254177102"/>
      <w:bookmarkStart w:id="147" w:name="_Toc255986224"/>
      <w:bookmarkStart w:id="148" w:name="_Toc252382046"/>
      <w:bookmarkStart w:id="149" w:name="_Toc252453629"/>
      <w:bookmarkStart w:id="150" w:name="_Toc254177103"/>
      <w:bookmarkStart w:id="151" w:name="_Toc255986225"/>
      <w:bookmarkStart w:id="152" w:name="_Toc252382299"/>
      <w:bookmarkStart w:id="153" w:name="_Toc252453882"/>
      <w:bookmarkStart w:id="154" w:name="_Toc254177356"/>
      <w:bookmarkStart w:id="155" w:name="_Toc255986478"/>
      <w:bookmarkStart w:id="156" w:name="_Toc252382300"/>
      <w:bookmarkStart w:id="157" w:name="_Toc252453883"/>
      <w:bookmarkStart w:id="158" w:name="_Toc254177357"/>
      <w:bookmarkStart w:id="159" w:name="_Toc255986479"/>
      <w:bookmarkStart w:id="160" w:name="_Toc252382302"/>
      <w:bookmarkStart w:id="161" w:name="_Toc252453885"/>
      <w:bookmarkStart w:id="162" w:name="_Toc254177359"/>
      <w:bookmarkStart w:id="163" w:name="_Toc255986481"/>
      <w:bookmarkStart w:id="164" w:name="_Toc252382320"/>
      <w:bookmarkStart w:id="165" w:name="_Toc252453903"/>
      <w:bookmarkStart w:id="166" w:name="_Toc254177377"/>
      <w:bookmarkStart w:id="167" w:name="_Toc255986499"/>
      <w:bookmarkStart w:id="168" w:name="_Toc252382327"/>
      <w:bookmarkStart w:id="169" w:name="_Toc252453910"/>
      <w:bookmarkStart w:id="170" w:name="_Toc254177384"/>
      <w:bookmarkStart w:id="171" w:name="_Toc255986506"/>
      <w:bookmarkStart w:id="172" w:name="_Toc252382344"/>
      <w:bookmarkStart w:id="173" w:name="_Toc252453927"/>
      <w:bookmarkStart w:id="174" w:name="_Toc254177401"/>
      <w:bookmarkStart w:id="175" w:name="_Toc255986523"/>
      <w:bookmarkStart w:id="176" w:name="_Toc252382409"/>
      <w:bookmarkStart w:id="177" w:name="_Toc252453992"/>
      <w:bookmarkStart w:id="178" w:name="_Toc254177466"/>
      <w:bookmarkStart w:id="179" w:name="_Toc255986588"/>
      <w:bookmarkStart w:id="180" w:name="_Toc252382410"/>
      <w:bookmarkStart w:id="181" w:name="_Toc252453993"/>
      <w:bookmarkStart w:id="182" w:name="_Toc254177467"/>
      <w:bookmarkStart w:id="183" w:name="_Toc255986589"/>
      <w:bookmarkStart w:id="184" w:name="_Toc252382414"/>
      <w:bookmarkStart w:id="185" w:name="_Toc252453997"/>
      <w:bookmarkStart w:id="186" w:name="_Toc254177471"/>
      <w:bookmarkStart w:id="187" w:name="_Toc255986593"/>
      <w:bookmarkStart w:id="188" w:name="_Toc252382418"/>
      <w:bookmarkStart w:id="189" w:name="_Toc252454001"/>
      <w:bookmarkStart w:id="190" w:name="_Toc254177475"/>
      <w:bookmarkStart w:id="191" w:name="_Toc255986597"/>
      <w:bookmarkStart w:id="192" w:name="_Toc252382421"/>
      <w:bookmarkStart w:id="193" w:name="_Toc252454004"/>
      <w:bookmarkStart w:id="194" w:name="_Toc254177478"/>
      <w:bookmarkStart w:id="195" w:name="_Toc255986600"/>
      <w:bookmarkStart w:id="196" w:name="_Toc252382442"/>
      <w:bookmarkStart w:id="197" w:name="_Toc252454025"/>
      <w:bookmarkStart w:id="198" w:name="_Toc254177499"/>
      <w:bookmarkStart w:id="199" w:name="_Toc255986621"/>
      <w:bookmarkStart w:id="200" w:name="_Toc252382488"/>
      <w:bookmarkStart w:id="201" w:name="_Toc252454071"/>
      <w:bookmarkStart w:id="202" w:name="_Toc254177545"/>
      <w:bookmarkStart w:id="203" w:name="_Toc255986667"/>
      <w:bookmarkStart w:id="204" w:name="_Toc252382509"/>
      <w:bookmarkStart w:id="205" w:name="_Toc252454092"/>
      <w:bookmarkStart w:id="206" w:name="_Toc254177566"/>
      <w:bookmarkStart w:id="207" w:name="_Toc255986688"/>
      <w:bookmarkStart w:id="208" w:name="_Toc252382530"/>
      <w:bookmarkStart w:id="209" w:name="_Toc252454113"/>
      <w:bookmarkStart w:id="210" w:name="_Toc254177587"/>
      <w:bookmarkStart w:id="211" w:name="_Toc255986709"/>
      <w:bookmarkStart w:id="212" w:name="_Toc252382593"/>
      <w:bookmarkStart w:id="213" w:name="_Toc252454176"/>
      <w:bookmarkStart w:id="214" w:name="_Toc254177650"/>
      <w:bookmarkStart w:id="215" w:name="_Toc255986772"/>
      <w:bookmarkStart w:id="216" w:name="_Toc252382614"/>
      <w:bookmarkStart w:id="217" w:name="_Toc252454197"/>
      <w:bookmarkStart w:id="218" w:name="_Toc254177671"/>
      <w:bookmarkStart w:id="219" w:name="_Toc255986793"/>
      <w:bookmarkStart w:id="220" w:name="_Toc252382635"/>
      <w:bookmarkStart w:id="221" w:name="_Toc252454218"/>
      <w:bookmarkStart w:id="222" w:name="_Toc254177692"/>
      <w:bookmarkStart w:id="223" w:name="_Toc255986814"/>
      <w:bookmarkStart w:id="224" w:name="_Toc252382656"/>
      <w:bookmarkStart w:id="225" w:name="_Toc252454239"/>
      <w:bookmarkStart w:id="226" w:name="_Toc254177713"/>
      <w:bookmarkStart w:id="227" w:name="_Toc255986835"/>
      <w:bookmarkStart w:id="228" w:name="_Toc252382677"/>
      <w:bookmarkStart w:id="229" w:name="_Toc252454260"/>
      <w:bookmarkStart w:id="230" w:name="_Toc254177734"/>
      <w:bookmarkStart w:id="231" w:name="_Toc255986856"/>
      <w:bookmarkStart w:id="232" w:name="_Toc252382718"/>
      <w:bookmarkStart w:id="233" w:name="_Toc252454301"/>
      <w:bookmarkStart w:id="234" w:name="_Toc254177775"/>
      <w:bookmarkStart w:id="235" w:name="_Toc255986897"/>
      <w:bookmarkStart w:id="236" w:name="_Toc252382719"/>
      <w:bookmarkStart w:id="237" w:name="_Toc252454302"/>
      <w:bookmarkStart w:id="238" w:name="_Toc254177776"/>
      <w:bookmarkStart w:id="239" w:name="_Toc255986898"/>
      <w:bookmarkStart w:id="240" w:name="_Toc252382725"/>
      <w:bookmarkStart w:id="241" w:name="_Toc252454308"/>
      <w:bookmarkStart w:id="242" w:name="_Toc254177782"/>
      <w:bookmarkStart w:id="243" w:name="_Toc255986904"/>
      <w:bookmarkStart w:id="244" w:name="_Toc252382727"/>
      <w:bookmarkStart w:id="245" w:name="_Toc252454310"/>
      <w:bookmarkStart w:id="246" w:name="_Toc254177784"/>
      <w:bookmarkStart w:id="247" w:name="_Toc255986906"/>
      <w:bookmarkStart w:id="248" w:name="_Toc252382730"/>
      <w:bookmarkStart w:id="249" w:name="_Toc252454313"/>
      <w:bookmarkStart w:id="250" w:name="_Toc254177787"/>
      <w:bookmarkStart w:id="251" w:name="_Toc255986909"/>
      <w:bookmarkStart w:id="252" w:name="_Toc252382731"/>
      <w:bookmarkStart w:id="253" w:name="_Toc252454314"/>
      <w:bookmarkStart w:id="254" w:name="_Toc254177788"/>
      <w:bookmarkStart w:id="255" w:name="_Toc255986910"/>
      <w:bookmarkStart w:id="256" w:name="_Toc252382737"/>
      <w:bookmarkStart w:id="257" w:name="_Toc252454320"/>
      <w:bookmarkStart w:id="258" w:name="_Toc254177794"/>
      <w:bookmarkStart w:id="259" w:name="_Toc255986916"/>
      <w:bookmarkStart w:id="260" w:name="_Toc252382738"/>
      <w:bookmarkStart w:id="261" w:name="_Toc252454321"/>
      <w:bookmarkStart w:id="262" w:name="_Toc254177795"/>
      <w:bookmarkStart w:id="263" w:name="_Toc255986917"/>
      <w:bookmarkStart w:id="264" w:name="_Toc252382740"/>
      <w:bookmarkStart w:id="265" w:name="_Toc252454323"/>
      <w:bookmarkStart w:id="266" w:name="_Toc254177797"/>
      <w:bookmarkStart w:id="267" w:name="_Toc255986919"/>
      <w:bookmarkStart w:id="268" w:name="_Toc252382743"/>
      <w:bookmarkStart w:id="269" w:name="_Toc252454326"/>
      <w:bookmarkStart w:id="270" w:name="_Toc254177800"/>
      <w:bookmarkStart w:id="271" w:name="_Toc255986922"/>
      <w:bookmarkStart w:id="272" w:name="_Toc252382747"/>
      <w:bookmarkStart w:id="273" w:name="_Toc252454330"/>
      <w:bookmarkStart w:id="274" w:name="_Toc254177804"/>
      <w:bookmarkStart w:id="275" w:name="_Toc255986926"/>
      <w:bookmarkStart w:id="276" w:name="_Toc252382751"/>
      <w:bookmarkStart w:id="277" w:name="_Toc252454334"/>
      <w:bookmarkStart w:id="278" w:name="_Toc254177808"/>
      <w:bookmarkStart w:id="279" w:name="_Toc255986930"/>
      <w:bookmarkStart w:id="280" w:name="_Toc252382778"/>
      <w:bookmarkStart w:id="281" w:name="_Toc252454361"/>
      <w:bookmarkStart w:id="282" w:name="_Toc254177835"/>
      <w:bookmarkStart w:id="283" w:name="_Toc255986957"/>
      <w:bookmarkStart w:id="284" w:name="_Toc252382782"/>
      <w:bookmarkStart w:id="285" w:name="_Toc252454365"/>
      <w:bookmarkStart w:id="286" w:name="_Toc254177839"/>
      <w:bookmarkStart w:id="287" w:name="_Toc255986961"/>
      <w:bookmarkStart w:id="288" w:name="_Toc252382785"/>
      <w:bookmarkStart w:id="289" w:name="_Toc252454368"/>
      <w:bookmarkStart w:id="290" w:name="_Toc254177842"/>
      <w:bookmarkStart w:id="291" w:name="_Toc255986964"/>
      <w:bookmarkStart w:id="292" w:name="_Toc252382786"/>
      <w:bookmarkStart w:id="293" w:name="_Toc252454369"/>
      <w:bookmarkStart w:id="294" w:name="_Toc254177843"/>
      <w:bookmarkStart w:id="295" w:name="_Toc255986965"/>
      <w:bookmarkStart w:id="296" w:name="_Toc252382791"/>
      <w:bookmarkStart w:id="297" w:name="_Toc252454374"/>
      <w:bookmarkStart w:id="298" w:name="_Toc254177848"/>
      <w:bookmarkStart w:id="299" w:name="_Toc255986970"/>
      <w:bookmarkStart w:id="300" w:name="_Toc252382794"/>
      <w:bookmarkStart w:id="301" w:name="_Toc252454377"/>
      <w:bookmarkStart w:id="302" w:name="_Toc254177851"/>
      <w:bookmarkStart w:id="303" w:name="_Toc255986973"/>
      <w:bookmarkStart w:id="304" w:name="_Toc252382802"/>
      <w:bookmarkStart w:id="305" w:name="_Toc252454385"/>
      <w:bookmarkStart w:id="306" w:name="_Toc254177859"/>
      <w:bookmarkStart w:id="307" w:name="_Toc255986981"/>
      <w:bookmarkStart w:id="308" w:name="_Toc252382803"/>
      <w:bookmarkStart w:id="309" w:name="_Toc252454386"/>
      <w:bookmarkStart w:id="310" w:name="_Toc254177860"/>
      <w:bookmarkStart w:id="311" w:name="_Toc255986982"/>
      <w:bookmarkStart w:id="312" w:name="_Toc252382809"/>
      <w:bookmarkStart w:id="313" w:name="_Toc252454392"/>
      <w:bookmarkStart w:id="314" w:name="_Toc254177866"/>
      <w:bookmarkStart w:id="315" w:name="_Toc255986988"/>
      <w:bookmarkStart w:id="316" w:name="_Toc252382811"/>
      <w:bookmarkStart w:id="317" w:name="_Toc252454394"/>
      <w:bookmarkStart w:id="318" w:name="_Toc254177868"/>
      <w:bookmarkStart w:id="319" w:name="_Toc255986990"/>
      <w:bookmarkStart w:id="320" w:name="_Toc252382820"/>
      <w:bookmarkStart w:id="321" w:name="_Toc252454403"/>
      <w:bookmarkStart w:id="322" w:name="_Toc254177877"/>
      <w:bookmarkStart w:id="323" w:name="_Toc255986999"/>
      <w:bookmarkStart w:id="324" w:name="_Toc252382827"/>
      <w:bookmarkStart w:id="325" w:name="_Toc252454410"/>
      <w:bookmarkStart w:id="326" w:name="_Toc254177884"/>
      <w:bookmarkStart w:id="327" w:name="_Toc255987006"/>
      <w:bookmarkStart w:id="328" w:name="_Toc252382834"/>
      <w:bookmarkStart w:id="329" w:name="_Toc252454417"/>
      <w:bookmarkStart w:id="330" w:name="_Toc254177891"/>
      <w:bookmarkStart w:id="331" w:name="_Toc255987013"/>
      <w:bookmarkStart w:id="332" w:name="_Toc252382841"/>
      <w:bookmarkStart w:id="333" w:name="_Toc252454424"/>
      <w:bookmarkStart w:id="334" w:name="_Toc254177898"/>
      <w:bookmarkStart w:id="335" w:name="_Toc255987020"/>
      <w:bookmarkStart w:id="336" w:name="_Toc252382848"/>
      <w:bookmarkStart w:id="337" w:name="_Toc252454431"/>
      <w:bookmarkStart w:id="338" w:name="_Toc254177905"/>
      <w:bookmarkStart w:id="339" w:name="_Toc255987027"/>
      <w:bookmarkStart w:id="340" w:name="_Toc252382855"/>
      <w:bookmarkStart w:id="341" w:name="_Toc252454438"/>
      <w:bookmarkStart w:id="342" w:name="_Toc254177912"/>
      <w:bookmarkStart w:id="343" w:name="_Toc255987034"/>
      <w:bookmarkStart w:id="344" w:name="_Toc252382856"/>
      <w:bookmarkStart w:id="345" w:name="_Toc252454439"/>
      <w:bookmarkStart w:id="346" w:name="_Toc254177913"/>
      <w:bookmarkStart w:id="347" w:name="_Toc255987035"/>
      <w:bookmarkStart w:id="348" w:name="_Toc252382857"/>
      <w:bookmarkStart w:id="349" w:name="_Toc252454440"/>
      <w:bookmarkStart w:id="350" w:name="_Toc254177914"/>
      <w:bookmarkStart w:id="351" w:name="_Toc255987036"/>
      <w:bookmarkStart w:id="352" w:name="_Toc252382858"/>
      <w:bookmarkStart w:id="353" w:name="_Toc252454441"/>
      <w:bookmarkStart w:id="354" w:name="_Toc254177915"/>
      <w:bookmarkStart w:id="355" w:name="_Toc255987037"/>
      <w:bookmarkStart w:id="356" w:name="_Toc252382859"/>
      <w:bookmarkStart w:id="357" w:name="_Toc252454442"/>
      <w:bookmarkStart w:id="358" w:name="_Toc254177916"/>
      <w:bookmarkStart w:id="359" w:name="_Toc255987038"/>
      <w:bookmarkStart w:id="360" w:name="_Toc252382860"/>
      <w:bookmarkStart w:id="361" w:name="_Toc252454443"/>
      <w:bookmarkStart w:id="362" w:name="_Toc254177917"/>
      <w:bookmarkStart w:id="363" w:name="_Toc255987039"/>
      <w:bookmarkStart w:id="364" w:name="_Toc252382861"/>
      <w:bookmarkStart w:id="365" w:name="_Toc252454444"/>
      <w:bookmarkStart w:id="366" w:name="_Toc254177918"/>
      <w:bookmarkStart w:id="367" w:name="_Toc255987040"/>
      <w:bookmarkStart w:id="368" w:name="_Toc252382862"/>
      <w:bookmarkStart w:id="369" w:name="_Toc252454445"/>
      <w:bookmarkStart w:id="370" w:name="_Toc254177919"/>
      <w:bookmarkStart w:id="371" w:name="_Toc255987041"/>
      <w:bookmarkStart w:id="372" w:name="_Toc252382863"/>
      <w:bookmarkStart w:id="373" w:name="_Toc252454446"/>
      <w:bookmarkStart w:id="374" w:name="_Toc254177920"/>
      <w:bookmarkStart w:id="375" w:name="_Toc255987042"/>
      <w:bookmarkStart w:id="376" w:name="_Toc252382864"/>
      <w:bookmarkStart w:id="377" w:name="_Toc252454447"/>
      <w:bookmarkStart w:id="378" w:name="_Toc254177921"/>
      <w:bookmarkStart w:id="379" w:name="_Toc255987043"/>
      <w:bookmarkStart w:id="380" w:name="_Toc252382865"/>
      <w:bookmarkStart w:id="381" w:name="_Toc252454448"/>
      <w:bookmarkStart w:id="382" w:name="_Toc254177922"/>
      <w:bookmarkStart w:id="383" w:name="_Toc255987044"/>
      <w:bookmarkStart w:id="384" w:name="_Toc252382868"/>
      <w:bookmarkStart w:id="385" w:name="_Toc252454451"/>
      <w:bookmarkStart w:id="386" w:name="_Toc254177925"/>
      <w:bookmarkStart w:id="387" w:name="_Toc255987047"/>
      <w:bookmarkStart w:id="388" w:name="_Toc252382870"/>
      <w:bookmarkStart w:id="389" w:name="_Toc252454453"/>
      <w:bookmarkStart w:id="390" w:name="_Toc254177927"/>
      <w:bookmarkStart w:id="391" w:name="_Toc255987049"/>
      <w:bookmarkStart w:id="392" w:name="_Toc252382872"/>
      <w:bookmarkStart w:id="393" w:name="_Toc252454455"/>
      <w:bookmarkStart w:id="394" w:name="_Toc254177929"/>
      <w:bookmarkStart w:id="395" w:name="_Toc255987051"/>
      <w:bookmarkStart w:id="396" w:name="_Toc252382874"/>
      <w:bookmarkStart w:id="397" w:name="_Toc252454457"/>
      <w:bookmarkStart w:id="398" w:name="_Toc254177931"/>
      <w:bookmarkStart w:id="399" w:name="_Toc255987053"/>
      <w:bookmarkStart w:id="400" w:name="_Toc252382879"/>
      <w:bookmarkStart w:id="401" w:name="_Toc252454462"/>
      <w:bookmarkStart w:id="402" w:name="_Toc254177936"/>
      <w:bookmarkStart w:id="403" w:name="_Toc255987058"/>
      <w:bookmarkStart w:id="404" w:name="_Toc252382882"/>
      <w:bookmarkStart w:id="405" w:name="_Toc252454465"/>
      <w:bookmarkStart w:id="406" w:name="_Toc254177939"/>
      <w:bookmarkStart w:id="407" w:name="_Toc255987061"/>
      <w:bookmarkStart w:id="408" w:name="_Toc252382883"/>
      <w:bookmarkStart w:id="409" w:name="_Toc252454466"/>
      <w:bookmarkStart w:id="410" w:name="_Toc254177940"/>
      <w:bookmarkStart w:id="411" w:name="_Toc255987062"/>
      <w:bookmarkStart w:id="412" w:name="_Toc252382884"/>
      <w:bookmarkStart w:id="413" w:name="_Toc252454467"/>
      <w:bookmarkStart w:id="414" w:name="_Toc254177941"/>
      <w:bookmarkStart w:id="415" w:name="_Toc255987063"/>
      <w:bookmarkStart w:id="416" w:name="_Toc252382887"/>
      <w:bookmarkStart w:id="417" w:name="_Toc252454470"/>
      <w:bookmarkStart w:id="418" w:name="_Toc254177944"/>
      <w:bookmarkStart w:id="419" w:name="_Toc255987066"/>
      <w:bookmarkStart w:id="420" w:name="_Toc252382888"/>
      <w:bookmarkStart w:id="421" w:name="_Toc252454471"/>
      <w:bookmarkStart w:id="422" w:name="_Toc254177945"/>
      <w:bookmarkStart w:id="423" w:name="_Toc255987067"/>
      <w:bookmarkStart w:id="424" w:name="_Toc252382889"/>
      <w:bookmarkStart w:id="425" w:name="_Toc252454472"/>
      <w:bookmarkStart w:id="426" w:name="_Toc254177946"/>
      <w:bookmarkStart w:id="427" w:name="_Toc255987068"/>
      <w:bookmarkStart w:id="428" w:name="_Toc252382890"/>
      <w:bookmarkStart w:id="429" w:name="_Toc252454473"/>
      <w:bookmarkStart w:id="430" w:name="_Toc254177947"/>
      <w:bookmarkStart w:id="431" w:name="_Toc2559870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договор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страхования общегражданской ответственности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ПАО «МРСК ЦЕНТРА И ПРИВОЛЖЬЯ»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г. Нижний Новгород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  <w:t xml:space="preserve">                     «___» __________ 201</w:t>
      </w:r>
      <w:r w:rsidR="00D0307F">
        <w:rPr>
          <w:rFonts w:ascii="Times New Roman" w:eastAsia="Times New Roman" w:hAnsi="Times New Roman" w:cs="Times New Roman"/>
          <w:bCs/>
          <w:lang w:eastAsia="ar-SA"/>
        </w:rPr>
        <w:t>8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snapToGrid w:val="0"/>
          <w:lang w:eastAsia="ar-SA"/>
        </w:rPr>
        <w:t>_____________________________________________</w:t>
      </w:r>
      <w:r w:rsidRPr="002943B9">
        <w:rPr>
          <w:rFonts w:ascii="Times New Roman" w:eastAsia="Times New Roman" w:hAnsi="Times New Roman" w:cs="Times New Roman"/>
          <w:bCs/>
          <w:snapToGrid w:val="0"/>
          <w:lang w:eastAsia="ar-SA"/>
        </w:rPr>
        <w:t>, именуемое в дальнейшем «Страховщик», в лице __________________________, действующего на основании _______________________,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 одной стороны, Публичное акционерное общество «Межрегиональная распределительная сетевая компания Центра и Приволжья» (ПАО «МРСК Центра и Приволжья»), в лице ________________, действующей на основании ____________, именуемое в дальнейшем «Страхователь», с одной стороны, с другой стороны, заключили настоящий договор о нижеследующем: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  <w:tab w:val="num" w:pos="453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ПРЕДМЕТ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Предметом настоящего Договора является страхование имущественных интересов Страхователя, связанных с обязательствами, возникающими у него вследствие причинения вреда Третьим лицам (Выгодоприобретателям) в связи с осуществлением Страхователем Застрахованной деятельности.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Территория страхования – Российская Федерация.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ОБЪЕКТ СТРАХОВАНИЯ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Объектом страхования являются не противоречащие законодательству Российской Федерации имущественные интересы Страхователя, связанные с риском наступления ответственности последнего за причинение вреда жизни, здоровью и/или имуществу Третьих лиц в связи с осуществлением Страхователем Застрахованной деятельности.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СТРАХОВЫЕ РИСКИ. СТРАХОВЫЕ СЛУЧАИ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Страховым случаем по настоящему Договору является факт наступления ответственности Страхователя, установленный решением суда либо признанный Страхователем добровольно с предварительного согласия Страховщика, по обязательствам, возникающим вследствие причинения в течение срока действия настоящего Договора вреда (ущерба) жизни, здоровью и/или имуществу Выгодоприобретателей при осуществлении Страхователем Застрахованной деятельности: </w:t>
      </w:r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передача и распределение электрической энергии через технические устройства электрических сетей и технологическое присоединение </w:t>
      </w:r>
      <w:proofErr w:type="spellStart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>энергопринимающих</w:t>
      </w:r>
      <w:proofErr w:type="spellEnd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 устройств</w:t>
      </w:r>
      <w:proofErr w:type="gramEnd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 к электрическим сетям.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Настоящее страхование проводится в отношении любых событий, повлекших наступление страхового случая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при наличии причинно-следственной связи между таким событием и причинением вреда Выгодоприобретателям, кроме тех, которые поименованы в объеме исключения (пункт 3.4. настоящего Договора).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Причинение вреда нескольким лицам в результате воздействия ряда последовательно (или одновременно) возникших событий  вызванных одной и той же причиной, рассматривается как один страховой случай. Все требования о возмещении вреда, заявленные вследствие таких событий, будут считаться заявленными в тот момент, когда первое из этих требований заявлено в отношении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подлежат возмещению расходы, вызванные или связанные с удовлетворением требований: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выразившегося в упущенной выгоде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компенсации вреда, причиненного деловой репутации юридического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возникшего в результате нарушения авторских прав и иных исключительных прав на объекты интеллектуальной собственности;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 лицам, находящимся со Страхователем в трудовых отношениях, причиненного им при исполнении ими обязанностей, предусмотренных трудовыми договорами. Однако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,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вред причиняется указанным лицам в нерабочее время и не в связи с выполнением ими трудовых обязанностей, он подлежит возмещению в соответствии с положениями настоящего Договора;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умышленно причиненного Страхователем, за исключением случаев причинения вреда жизни или здоровью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в связи с войной или военными действиями, гражданской войной, восстанием, мятежом, народными волнениями, действиями вооруженных формирований или террористов;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за пределами территории страхования;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 уплате неустойки (штрафа, пени) за неисполнение или ненадлежащее исполнение договорных обязательств;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убытки, вытекающие из неисполнения (ненадлежащего исполнения) Страхователем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обязательств по договорам, заключенным с Третьими лицами;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вытекающего из гарантийных обязатель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ств Стр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ахователя;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явившего следствием умысла потерпевшего третьего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вызванного естественным эксплуатационным износом узлов и деталей.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Возмещаемые убытки и расходы включают возмещение морального вреда, обусловленного причинением вреда жизни и здоровью Третьих лиц, а также предусмотренного законом о правах потребителей, по вступившим в силу решениям судов, принятых по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искам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поданным в соответствии с гражданским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Указанный в п. 3.4. перечень исключений не может быть расширен вне зависимости от наличия дополнительных исключений в Правилах страхования Страховщика.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СТРАХОВАЯ СУММА, ЛИМИТЫ ОТВЕТСТВЕННОСТИ,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СТРАХОВАЯ ПРЕМИЯ, ФРАНШИЗА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Страховая сумма (общий лимит ответственности Страховщика на каждый страховой случай) составляет: 50 000 000 (Пятьдесят миллионов) рублей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Лимит ответственности Страховщика по одному (каждому) страховому случаю составляет ___________________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Франшиза (условная / безусловная) на каждый страховой случай ______________.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Страховая премия в размере</w:t>
      </w:r>
      <w:proofErr w:type="gramStart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____________ (___________________) </w:t>
      </w:r>
      <w:proofErr w:type="gramEnd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рублей, НДС не облагается, уплачивается Страхователем в рассрочку ежеквартально равными платежами путем перечисления денежных средств на расчетный счет Страховщика, а именно: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__________201</w:t>
      </w:r>
      <w:r w:rsidR="009435FD">
        <w:rPr>
          <w:rFonts w:ascii="Times New Roman" w:eastAsia="Times New Roman" w:hAnsi="Times New Roman" w:cs="Times New Roman"/>
          <w:bCs/>
          <w:color w:val="000000"/>
          <w:lang w:eastAsia="ar-SA"/>
        </w:rPr>
        <w:t>9</w:t>
      </w:r>
      <w:bookmarkStart w:id="432" w:name="_GoBack"/>
      <w:bookmarkEnd w:id="432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года в размере _________ рублей.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Оплата страховой премии производится в безналичной форме в течение </w:t>
      </w:r>
      <w:r w:rsidR="00A301DE">
        <w:rPr>
          <w:rFonts w:ascii="Times New Roman" w:eastAsia="Times New Roman" w:hAnsi="Times New Roman" w:cs="Times New Roman"/>
          <w:bCs/>
          <w:color w:val="000000"/>
          <w:lang w:eastAsia="ar-SA"/>
        </w:rPr>
        <w:t>30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дней с момента получения счета на оплату. Оплата страховой премии производится с расчетного счета Страхователя на расчетный счет Страховщика.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Датой уплаты страховой премии считается день списания денежных сре</w:t>
      </w:r>
      <w:proofErr w:type="gramStart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дств с р</w:t>
      </w:r>
      <w:proofErr w:type="gramEnd"/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асчетного счета Страхователя.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СРОК ДЕЙСТВИЯ ДОГОВОРА СТРАХОВАНИЯ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вступает в силу с 00 часов 00 минут «__» _____ 201__ г. и действует до 24 часов 00 минут  «___» _______ 201__ г. (обе даты включительно).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ПРАВА И ОБЯЗАННОСТИ СТОРОН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обязан: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признании случая страховым произвести страховую выплату в порядке и сроки, предусмотренные настоящим Договором;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разглашать сведения о Страхователе и его имущественном положении и другую конфиденциальную информацию, ставшую известной в связи с заключением настоящего Договора, за исключением случаев, предусмотренных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проведения Страхователем мероприятий, существенно уменьшающих риск наступления страхового случая и размер возможного вреда, перезаключить по требованию Страхователя договор страхования или внести в него изменения с учетом этих обстоятельств. Разногласия в отношении наличия и размера уменьшения риска разрешаются соответствующим экспертным заключением.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Страховщик имеет право: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направлять запросы Страхователю касательно предмета договора страхования;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запрашивать у Страхователя и компетентных органов любую информацию, необходимую для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установления факта страхового случая и/или размера, подлежащего выплате страхового возмещения, а также самостоятельно выяснять причины и обстоятельства наступления страхового случая, проводить экспертизу для определения обоснованности предъявленных требований и установления наличия (отсутствия) страхового случая;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от Страхователя надлежаще оформленную доверенность на имя указанных Страховщиком лиц для ведения судебного или арбитражного дела и совершения любых необходимых действий по защите интересов Страхователя и уменьшению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назначать или нанимать за свой счет сюрвейеров, экспертов, аварийных комиссаров,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адвокатов и других лиц для ведения дел или урегулирования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принимать или указывать необходимые меры по уменьшению убытков, являющиеся обязательными для Страхователя, проводить совместные расследования, экспертные проверки.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потребовать признания договора страхования недействительным и применения последствий, предусмотренных законодательством Российской Федерации, если Страхователь при заключении договора страхования представил заведомо ложные сведения о себе, осуществляемой деятельности и др.;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отказать в выплате страхового возмещения в случаях, указанных в настоящем Договоре или предусмотренных действующим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уплатить страховую премию (страховые взносы) в размере, порядке и в срок, установленные в настоящем Договоре;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заключении договора страхования сообщить Страховщику обо всех известных ему обстоятельствах, имеющих значение для оценки страхового риска;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сообщать Страховщику в период действия договора страхования информацию об изменениях в  деятельности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это может повлиять на повышение риска страхования;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,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если у Страхователя появится возможность прекращения или сокращения размеров выплаты страхового возмещения, поставить Страховщика в известность об этом и принять все доступные меры по прекращению или сокращению размера таких выплат;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разумные и доступные ему меры для уменьшения возможных убытков, если они были произведены с согласия Страховщика;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все необходимые меры для выяснения причин, обстоятельств и последствий происшедшего;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обеспечить участие Страховщика в установлении причин, обстоятельств и размера причиненного вреда;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предоставлять Страховщику всю доступную ему информацию и документацию, позволяющую судить о причинах, характере и размерах причиненного ущерба;</w:t>
      </w:r>
    </w:p>
    <w:p w:rsidR="002943B9" w:rsidRPr="002943B9" w:rsidRDefault="002943B9" w:rsidP="002943B9">
      <w:pPr>
        <w:widowControl w:val="0"/>
        <w:numPr>
          <w:ilvl w:val="1"/>
          <w:numId w:val="10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выплачивать возмещения, не признавать частично или полностью требования, предъявляемые ему в связи со страховым случаем, а также не принимать на себя каких-либо прямых или косвенных обязательств по урегулированию таких требований без согласия Страховщика, если выполнение таких требований и обязательств не предусмотрено действующим законодательством РФ.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имеет право: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сообщить Страховщику о проведении мероприятий, существенно уменьшающих риск наступления страхового случая и потребовать от Страховщика перезаключения договора страхования или внесения в него изменений с учетом этих условий;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вносить по согласованию со Страховщиком в договор страхования изменения, не противоречащие законодательству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дубликат договора страхования в случае его утраты.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Права и обязанности Страховщика по договору страхования не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могут быть переданы кому бы то ни было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без письменного согласия на это Страхователя.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Страховщик, Страхователь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осуществляют другие права и исполняют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другие обязанности, предусмотренные договором страхования и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ВЫПЛАТЫ СТРАХОВОГО ВОЗМЕЩЕНИЯ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Основанием для признания случая страховым и удовлетворения требований Третьих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лиц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о возмещении нанесенного им вреда является: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вступившее в законную силу решение судебных органов о возмещении вреда, причиненного в предусмотренных настоящим Договором случаях;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достигнутое между Страховщиком, Страхователем и Выгодоприобретателем соглашение об урегулировании заявленных в претензии убытков (без подачи Выгодоприобретателем иска в судебные органы), заключенное на основании предъявленного Выгодоприобретателем Страхователю требования о возмещении вреда с приложением документов, подтверждающих размер нанесенного убытка.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вправе запросить дополнительные сведения и привлечь независимых экспертов для определения фактического ущерба, нанесенного в результате наступления страхового случая.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Размер страхового возмещения определяется исходя из величины присужденной судом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ко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взысканию со Страхователя компенсации за причинение вреда конкретному Выгодоприобретателю (Выгодоприобретателям)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пределах страховой суммы установленной п. 4.1. настоящего Договора.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внесудебном урегулировании претензии о причинении вреда размер страхового возмещения определяется исходя из величины признанной Страховщиком к уплате Страхователем компенсации за причинение вреда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в пределах страховой суммы установленной п. 4.1.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В любом случае размер вреда, причиненного Третьим лицам, определяется: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поврежденного, уничтоженного имущества (вред, причиненный имуществу Третьих лиц) – в размере действительной стоимости уничтоженного имущества, либо в размере восстановительной стоимости поврежденного имущества, если такое имущество поддается восстановлению;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вреда, причиненного жизни и здоровью Третьего лица - медицинские расходы, необходимые для восстановления здоровья потерпевшего (медикаменты, посторонний уход, протезирование, дополнительное медицинское обслуживание и т.д.); расходы на погребение потерпевшего в случае его смерти, и иные расходы, определенные гражданским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Если в момент наступления страхового случая общегражданская ответственность Страхователя была застрахована также и в других страховых компаниях, Страховщик выплачивает страховое возмещение лишь в размере, пропорциональном отношению страховой суммы по настоящему Договору к общей сумме обязательств по всем заключенным Страхователем договорам страхования указанной общегражданской ответственности.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тех случаях, когда причиненный вред компенсирован другими лицами, Страховщик оплачивает только разницу между суммой, подлежащей возмещению по настоящему Договору, и суммой, компенсированной другими лицами.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Основаниями для отказа в выплате являются случаи, указанные в п. 3.5. настоящего Договора, а также случаи, когда:</w:t>
      </w:r>
    </w:p>
    <w:p w:rsidR="002943B9" w:rsidRPr="002943B9" w:rsidRDefault="002943B9" w:rsidP="002943B9">
      <w:pPr>
        <w:widowControl w:val="0"/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представил заведомо ложные документы и доказательства или предпринял какие-либо другие намеренные действия с целью увеличения ущерба или неосновательного повышения размера страховой выплаты.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незамедлительно, но, в любом случае, не позднее пяти рабочих дней с момента, когда Страхователю стало известно о наступлении данного события, обязан уведомить об этом Страховщика любым способом, позволяющим зафиксировать факт сообщения, и предоставить Страховщику Заявление о страховом случае с описанием причин и обстоятельств случившегося, с приложением необходимых документов, свидетельствующих о наступлении страхового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случая 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размере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ущерба.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обращении за выплатой страхового возмещения:</w:t>
      </w:r>
    </w:p>
    <w:p w:rsidR="002943B9" w:rsidRPr="002943B9" w:rsidRDefault="002943B9" w:rsidP="002943B9">
      <w:pPr>
        <w:widowControl w:val="0"/>
        <w:numPr>
          <w:ilvl w:val="2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должен представить следующие документы: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заявление, содержащее обстоятельства, при которых был причинен вред жизни, здоровью, моральный вред и/или имущественным интересам Третьих лиц с указанием времени, места происшествия, характера причиненного вреда;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размер ущерба: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обоснованность произведенных расходов (расчетно-финансовые документы, платежные поручения, счета, чеки и т.д.);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иные документы, подтверждающие причины и обстоятельства наступления события, имеющего признаки страхового случая, и размер убытков, в том числе документы из государственных органов (правоохранительных, пожарных, аварийно-технических, заключение санитарно-эпидемиологических служб о причине нанесения вреда жизни и здоровью и т.п.).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Выгодоприобретатель вправе предъявить требование о возмещении вреда непосредственно страховщику в пределах страховой суммы.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отсутствии спора о том, имел ли место страховой случай, о наличии у третьего лица права на получение страхового возмещения и обязанности Страхователя его возместить, о причинно-следственной связи между страховым событием и ущербом, о размере причиненного ущерба, заявленные требования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удовлетворяются и страховое возмещение выплачивается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во внесудебном порядке.</w:t>
      </w:r>
    </w:p>
    <w:p w:rsidR="002943B9" w:rsidRPr="002943B9" w:rsidRDefault="002943B9" w:rsidP="002943B9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наличии спора об обстоятельствах страхового события, выплата страхового возмещения осуществляется на основании вступившего в законную силу решения суда. </w:t>
      </w:r>
    </w:p>
    <w:p w:rsidR="002943B9" w:rsidRPr="002943B9" w:rsidRDefault="002943B9" w:rsidP="002943B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судебного урегулирования предъявленных к Страхователю претензий, Страхователь в течение 10 дней с момента вынесения судебного решения должен уведомить Страховщика о вынесении решения судом, после получения решения суда в течение 10 дней направить в адрес Страховщика копию решения суда, вступившего в законную силу, а также копии других документов, имеющихся в распоряжении Страхователя.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Для получения более полной информации о наступившем событии Страховщик вправе запрашивать сведения, связанные с его возникновением, у компетентных органов и других организаций (органы внутренних дел, аварийно-спасательные службы, специальные подразделения служб спасения, медицинские учреждения, территориальные органы Федерального агентства по техническому регулированию и метрологии и сертификационные центры и др.), располагающих информацией о наступившем событии, а также самостоятельно выяснять причины и обстоятельства его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возникновения.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lastRenderedPageBreak/>
        <w:t>После получения всех необходимых документов и сведений Страховщик в течение 10 дней принимает решение о выплате страхового возмещения или отказе в выплате: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установлении факта наступления страхового случая Страховщик в течение 5 дней с момента установления факта составляет страховой акт, в котором указывает размер страховой выплаты, после чего в течение 3 дней производит выплату страхового возмещения;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при принятии решения об отказе в выплате Страховщик в течение 5 дней с момента принятия решения направляет Страхователю и/или Выгодоприобретателю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письменное уведомление с мотивированным обоснованием причин отказа в выплате страхового возмещения.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ИЗМЕНЕНИЕ И ПРЕКРАЩЕНИЕ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Все изменения и дополнения к настоящему Договору действительны только в том случае, если они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выполнены в письменной форме и подписаны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обеими сторонами.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прекращается в случаях: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истечения срока его действия;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исполнения Страховщиком обязательств перед Страхователем по настоящему договору в полном объеме – в случае, когда общая сумма выплаченного страхового возмещения становится равной страховой сумме;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по соглашению сторон;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в других случаях, предусмотренных действующим законодательством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Отношения сторон, не предусмотренные настоящим Договором, регулируются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ЗАКЛЮЧИТЕЛЬНЫЕ ПОЛОЖЕНИЯ 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своих партнеров и поддерживают антикоррупционные стандарты ведения бизнеса.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», представленных в разделе «Антикоррупционная политика» на официальном сайте по адресу: </w:t>
      </w:r>
      <w:hyperlink r:id="rId8" w:history="1">
        <w:r w:rsidRPr="002943B9">
          <w:rPr>
            <w:rFonts w:ascii="Times New Roman" w:eastAsia="Times New Roman" w:hAnsi="Times New Roman" w:cs="Times New Roman"/>
            <w:bCs/>
            <w:lang w:eastAsia="ar-SA"/>
          </w:rPr>
          <w:t>http://www.mrskcp.ru/about/anti-corruption_policy/general_information/</w:t>
        </w:r>
      </w:hyperlink>
      <w:r w:rsidRPr="002943B9">
        <w:rPr>
          <w:rFonts w:ascii="Times New Roman" w:eastAsia="Times New Roman" w:hAnsi="Times New Roman" w:cs="Times New Roman"/>
          <w:bCs/>
          <w:lang w:eastAsia="ar-SA"/>
        </w:rPr>
        <w:t>, -полностью принимает положения Антикоррупционной политики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«ПАО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обязуется обеспечивать соблюдение ее требований как со своей стороны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proofErr w:type="gramEnd"/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10.1. – 10.3.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 даты направления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письменного уведомления.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Антикоррупционной оговорки любой из Сторон, аффилированными лицами, работниками или посредниками.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воздерживаться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от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запрещенных в пункте 11.3. Антикоррупционной оговорки действий и/или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 xml:space="preserve">неполучения другой стороной в установленный срок подтверждения, что нарушения не произошло или не произойдет, Страховщик или Страхователь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был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Условия настоящего Договора, дополнительных соглашений к нему и иная информация, полученная Страховщиком в соответствии с настоящим Договором,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носит конфиденциальный характер и разглашению не подлежит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обязуется представлять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информацию о составе собственников (состав участников, в отношении участников, являющихся юридическими лицами - состава их участников и т.д.) привлекаемых 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субконтрагентов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Страховщика. Информация представляется по формам, указанным в Приложении №2 и №3 к Договору, не позднее 3-х календарных дней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 даты наступления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В случае неисполнения Страховщиком обязанности, установленной п. 9.3. Договора, Страхователь вправе в одностороннем порядке отказаться от исполнения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 всем, что не предусмотрено условиями настоящего договора, Стороны руководствуются «Правилами страхования гражданской ответственности юридических и физических лиц» являющимися неотъемлемой частью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Правила страхования, утвержденные Страховщиком, применяются в части, не противоречащей условиям настоящего Договора</w:t>
      </w:r>
      <w:r w:rsidRPr="002943B9">
        <w:rPr>
          <w:rFonts w:ascii="Times New Roman" w:eastAsia="Times New Roman" w:hAnsi="Times New Roman" w:cs="Times New Roman"/>
          <w:bCs/>
          <w:i/>
          <w:i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Споры, возникающие между Страхователем и Страховщиком по настоящему Договору, разрешаются путем переговоров.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не достижении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соглашения споры рассматриваются в судебном порядке в соответствии с действующим законодательством Российской Федерации, в Арбитражном суде Нижегородской области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страхования </w:t>
      </w:r>
      <w:proofErr w:type="gramStart"/>
      <w:r w:rsidRPr="002943B9">
        <w:rPr>
          <w:rFonts w:ascii="Times New Roman" w:eastAsia="Times New Roman" w:hAnsi="Times New Roman" w:cs="Times New Roman"/>
          <w:bCs/>
          <w:lang w:eastAsia="ar-SA"/>
        </w:rPr>
        <w:t>составлен и подписан</w:t>
      </w:r>
      <w:proofErr w:type="gram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в двух экземплярах, имеющих одинаковую силу. Один экземпляр находится у Страхователя, другой - у Страховщика.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943B9" w:rsidRPr="00F31DBC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ПРИЛОЖЕНИЯ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Приложение 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по информации о цепочке собственников контрагента, включая бенефициаров (в том числе конечных)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bCs/>
          <w:lang w:eastAsia="ar-SA"/>
        </w:rPr>
        <w:t>2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lang w:eastAsia="ar-SA"/>
        </w:rPr>
        <w:t>Приложение</w:t>
      </w:r>
      <w:r w:rsidR="00F31DBC">
        <w:rPr>
          <w:rFonts w:ascii="Times New Roman" w:eastAsia="Times New Roman" w:hAnsi="Times New Roman" w:cs="Times New Roman"/>
          <w:lang w:eastAsia="ar-SA"/>
        </w:rPr>
        <w:t xml:space="preserve"> 2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соглашения об обработке персональных данных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МЕСТОНАХОЖДЕНИЕ И РЕКВИЗИТЫ СТОРОН</w:t>
      </w:r>
    </w:p>
    <w:p w:rsidR="002943B9" w:rsidRPr="002943B9" w:rsidRDefault="002943B9" w:rsidP="002943B9">
      <w:pPr>
        <w:widowControl w:val="0"/>
        <w:tabs>
          <w:tab w:val="left" w:pos="709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Страховщик:</w:t>
            </w: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Страхователь:</w:t>
            </w:r>
          </w:p>
        </w:tc>
      </w:tr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_________________/____________________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ПАО «МРСК Центра и Приволжья»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________________________ </w:t>
            </w:r>
          </w:p>
        </w:tc>
      </w:tr>
    </w:tbl>
    <w:p w:rsidR="002943B9" w:rsidRPr="002943B9" w:rsidRDefault="002943B9" w:rsidP="002943B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  <w:sectPr w:rsidR="002943B9" w:rsidRPr="002943B9" w:rsidSect="00EC58E8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567" w:right="567" w:bottom="567" w:left="1134" w:header="142" w:footer="720" w:gutter="0"/>
          <w:cols w:space="720"/>
          <w:docGrid w:linePitch="360"/>
        </w:sectPr>
      </w:pP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  договору страхования 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CE07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07A4" w:rsidRPr="00CE07A4" w:rsidTr="00891B8F">
        <w:trPr>
          <w:trHeight w:val="641"/>
        </w:trPr>
        <w:tc>
          <w:tcPr>
            <w:tcW w:w="4956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Страхователя: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Страховщика: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tabs>
          <w:tab w:val="left" w:pos="0"/>
          <w:tab w:val="num" w:pos="113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E07A4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от «___» ____________ 20__ г. 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CE07A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7A4">
        <w:rPr>
          <w:rFonts w:ascii="Times New Roman" w:eastAsia="Times New Roman" w:hAnsi="Times New Roman" w:cs="Times New Roman"/>
          <w:lang w:eastAsia="ru-RU"/>
        </w:rPr>
        <w:t>,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CE07A4">
        <w:rPr>
          <w:rFonts w:ascii="Times New Roman" w:eastAsia="Times New Roman" w:hAnsi="Times New Roman" w:cs="Times New Roman"/>
          <w:lang w:eastAsia="ru-RU"/>
        </w:rPr>
        <w:t>и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lang w:eastAsia="ru-RU"/>
        </w:rPr>
        <w:t>ОАО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</w:t>
      </w:r>
      <w:proofErr w:type="gramEnd"/>
      <w:r w:rsidRPr="00CE07A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CE07A4">
        <w:rPr>
          <w:rFonts w:ascii="Times New Roman" w:eastAsia="Times New Roman" w:hAnsi="Times New Roman" w:cs="Times New Roman"/>
          <w:lang w:eastAsia="ru-RU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фамилия, имя, отчество; серия и номер документа, удостоверяющего личность;</w:t>
      </w:r>
      <w:proofErr w:type="gramEnd"/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 ИНН </w:t>
      </w:r>
      <w:r w:rsidRPr="00CE07A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Росфинмониторинг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snapToGrid w:val="0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7A4">
        <w:rPr>
          <w:rFonts w:ascii="Times New Roman" w:eastAsia="Calibri" w:hAnsi="Times New Roman" w:cs="Times New Roman"/>
          <w:snapToGrid w:val="0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snapToGrid w:val="0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                            _____________________________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(Подпись уполномоченного представителя)                                     (Ф.И.О. и должность подписавшего)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 договору страхования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201_ 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CE07A4">
        <w:rPr>
          <w:rFonts w:ascii="Times New Roman" w:eastAsia="Calibri" w:hAnsi="Times New Roman" w:cs="Times New Roman"/>
          <w:b/>
          <w:bCs/>
          <w:lang w:eastAsia="ru-RU"/>
        </w:rPr>
        <w:t>АНТИКОРРУПЦИОННАЯ ОГОВОРКА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1. 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и поддерживают антикоррупционные стандарты ведения бизнеса.</w:t>
      </w: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2. 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Контрагент настоящим подтверждает, что он ознакомился </w:t>
      </w:r>
      <w:r w:rsidRPr="00CE07A4">
        <w:rPr>
          <w:rFonts w:ascii="Times New Roman" w:eastAsia="Calibri" w:hAnsi="Times New Roman" w:cs="Times New Roman"/>
          <w:lang w:eastAsia="ru-RU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 xml:space="preserve">» по адресу - </w:t>
      </w:r>
      <w:hyperlink r:id="rId13" w:history="1">
        <w:r w:rsidRPr="00CE07A4">
          <w:rPr>
            <w:rFonts w:ascii="Times New Roman" w:eastAsia="Calibri" w:hAnsi="Times New Roman" w:cs="Times New Roman"/>
            <w:color w:val="0563C1"/>
            <w:u w:val="single"/>
            <w:lang w:eastAsia="ru-RU"/>
          </w:rPr>
          <w:t>http://www.rosseti.ru/about/anticorruptionpolicy/policy/index.php</w:t>
        </w:r>
      </w:hyperlink>
      <w:r w:rsidRPr="00CE07A4">
        <w:rPr>
          <w:rFonts w:ascii="Times New Roman" w:eastAsia="Calibri" w:hAnsi="Times New Roman" w:cs="Times New Roman"/>
          <w:lang w:eastAsia="ru-RU"/>
        </w:rPr>
        <w:t xml:space="preserve">, ПАО «МРСК Центра» по адресу - </w:t>
      </w:r>
      <w:r w:rsidRPr="00CE07A4">
        <w:rPr>
          <w:rFonts w:ascii="Times New Roman" w:eastAsia="Calibri" w:hAnsi="Times New Roman" w:cs="Times New Roman"/>
          <w:u w:val="single"/>
          <w:lang w:eastAsia="ru-RU"/>
        </w:rPr>
        <w:t>http://www.mrsk-1.ru/information/documents/internal/</w:t>
      </w:r>
      <w:r w:rsidRPr="00CE07A4">
        <w:rPr>
          <w:rFonts w:ascii="Times New Roman" w:eastAsia="Calibri" w:hAnsi="Times New Roman" w:cs="Times New Roman"/>
          <w:lang w:eastAsia="ru-RU"/>
        </w:rPr>
        <w:t xml:space="preserve">), - полностью принимает положения Антикоррупционной политики </w:t>
      </w:r>
      <w:r w:rsidRPr="00CE07A4">
        <w:rPr>
          <w:rFonts w:ascii="Times New Roman" w:eastAsia="Calibri" w:hAnsi="Times New Roman" w:cs="Times New Roman"/>
          <w:lang w:eastAsia="ru-RU"/>
        </w:rPr>
        <w:br/>
        <w:t>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Договору, включая собственников, должностных лиц, работников и/или посредников.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3. 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E07A4">
        <w:rPr>
          <w:rFonts w:ascii="Times New Roman" w:eastAsia="Calibri" w:hAnsi="Times New Roman" w:cs="Times New Roman"/>
          <w:i/>
          <w:lang w:eastAsia="ru-RU"/>
        </w:rPr>
        <w:t>.</w:t>
      </w:r>
      <w:proofErr w:type="gramEnd"/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CE07A4">
        <w:rPr>
          <w:rFonts w:ascii="Times New Roman" w:eastAsia="Calibri" w:hAnsi="Times New Roman" w:cs="Times New Roman"/>
          <w:lang w:eastAsia="ru-RU"/>
        </w:rPr>
        <w:br/>
        <w:t>не поименованными здесь способами, ставящими работника в определенную зависимость и</w:t>
      </w:r>
      <w:r w:rsidRPr="00CE07A4">
        <w:rPr>
          <w:rFonts w:ascii="Times New Roman" w:eastAsia="Calibri" w:hAnsi="Times New Roman" w:cs="Times New Roman"/>
          <w:lang w:val="en-US" w:eastAsia="ru-RU"/>
        </w:rPr>
        <w:t> </w:t>
      </w:r>
      <w:r w:rsidRPr="00CE07A4">
        <w:rPr>
          <w:rFonts w:ascii="Times New Roman" w:eastAsia="Calibri" w:hAnsi="Times New Roman" w:cs="Times New Roman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CE07A4">
        <w:rPr>
          <w:rFonts w:ascii="Times New Roman" w:eastAsia="Calibri" w:hAnsi="Times New Roman" w:cs="Times New Roman"/>
          <w:lang w:eastAsia="ru-RU"/>
        </w:rPr>
        <w:br/>
        <w:t>и Заказчика).</w:t>
      </w:r>
      <w:proofErr w:type="gramEnd"/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4. В случае возникновения у одной из Сторон подозрений, </w:t>
      </w:r>
      <w:r w:rsidRPr="00CE07A4">
        <w:rPr>
          <w:rFonts w:ascii="Times New Roman" w:eastAsia="Calibri" w:hAnsi="Times New Roman" w:cs="Times New Roman"/>
          <w:lang w:eastAsia="ru-RU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E07A4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bCs/>
          <w:lang w:eastAsia="ru-RU"/>
        </w:rPr>
        <w:t xml:space="preserve">Это подтверждение должно быть направлено в течение десяти рабочих дней </w:t>
      </w:r>
      <w:proofErr w:type="gramStart"/>
      <w:r w:rsidRPr="00CE07A4">
        <w:rPr>
          <w:rFonts w:ascii="Times New Roman" w:eastAsia="Calibri" w:hAnsi="Times New Roman" w:cs="Times New Roman"/>
          <w:bCs/>
          <w:lang w:eastAsia="ru-RU"/>
        </w:rPr>
        <w:t>с даты направления</w:t>
      </w:r>
      <w:proofErr w:type="gramEnd"/>
      <w:r w:rsidRPr="00CE07A4">
        <w:rPr>
          <w:rFonts w:ascii="Times New Roman" w:eastAsia="Calibri" w:hAnsi="Times New Roman" w:cs="Times New Roman"/>
          <w:bCs/>
          <w:lang w:eastAsia="ru-RU"/>
        </w:rPr>
        <w:t xml:space="preserve"> письменного уведомления.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5. 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E07A4">
        <w:rPr>
          <w:rFonts w:ascii="Times New Roman" w:eastAsia="Calibri" w:hAnsi="Times New Roman" w:cs="Times New Roman"/>
          <w:spacing w:val="-2"/>
          <w:lang w:eastAsia="ru-RU"/>
        </w:rPr>
        <w:t>Антикоррупционной оговорки, и обязательств воздерживаться от запрещенных</w:t>
      </w:r>
      <w:r w:rsidRPr="00CE07A4">
        <w:rPr>
          <w:rFonts w:ascii="Times New Roman" w:eastAsia="Calibri" w:hAnsi="Times New Roman" w:cs="Times New Roman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, направив письменное уведомление о </w:t>
      </w:r>
      <w:r w:rsidRPr="00CE07A4">
        <w:rPr>
          <w:rFonts w:ascii="Times New Roman" w:eastAsia="Calibri" w:hAnsi="Times New Roman" w:cs="Times New Roman"/>
          <w:lang w:eastAsia="ru-RU"/>
        </w:rPr>
        <w:lastRenderedPageBreak/>
        <w:t xml:space="preserve">расторжении. Сторона, по чьей инициативе </w:t>
      </w:r>
      <w:proofErr w:type="gramStart"/>
      <w:r w:rsidRPr="00CE07A4">
        <w:rPr>
          <w:rFonts w:ascii="Times New Roman" w:eastAsia="Calibri" w:hAnsi="Times New Roman" w:cs="Times New Roman"/>
          <w:lang w:eastAsia="ru-RU"/>
        </w:rPr>
        <w:t>был</w:t>
      </w:r>
      <w:proofErr w:type="gramEnd"/>
      <w:r w:rsidRPr="00CE07A4">
        <w:rPr>
          <w:rFonts w:ascii="Times New Roman" w:eastAsia="Calibri" w:hAnsi="Times New Roman" w:cs="Times New Roman"/>
          <w:lang w:eastAsia="ru-RU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i/>
          <w:lang w:eastAsia="ru-RU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** </w:t>
      </w:r>
      <w:r w:rsidRPr="00CE07A4">
        <w:rPr>
          <w:rFonts w:ascii="Times New Roman" w:eastAsia="Calibri" w:hAnsi="Times New Roman" w:cs="Times New Roman"/>
          <w:i/>
          <w:lang w:eastAsia="ru-RU"/>
        </w:rPr>
        <w:t>Указывается наименование ПАО «</w:t>
      </w:r>
      <w:proofErr w:type="spellStart"/>
      <w:r w:rsidRPr="00CE07A4">
        <w:rPr>
          <w:rFonts w:ascii="Times New Roman" w:eastAsia="Calibri" w:hAnsi="Times New Roman" w:cs="Times New Roman"/>
          <w:i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i/>
          <w:lang w:eastAsia="ru-RU"/>
        </w:rPr>
        <w:t xml:space="preserve">» / ПАО «МРСК Центра» </w:t>
      </w:r>
      <w:r w:rsidRPr="00CE07A4">
        <w:rPr>
          <w:rFonts w:ascii="Times New Roman" w:eastAsia="Calibri" w:hAnsi="Times New Roman" w:cs="Times New Roman"/>
          <w:i/>
          <w:lang w:eastAsia="ru-RU"/>
        </w:rPr>
        <w:br/>
        <w:t>в соответствии с договором (например, заказчик, покупатель и пр.).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4554"/>
      </w:tblGrid>
      <w:tr w:rsidR="00CE07A4" w:rsidRPr="00CE07A4" w:rsidTr="00891B8F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СТРАХОВЩИК: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СТРАХОВАТЕЛЬ: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 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</w:tr>
    </w:tbl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A4" w:rsidRPr="00CE07A4" w:rsidRDefault="00CE07A4" w:rsidP="00CE07A4">
      <w:pPr>
        <w:keepNext/>
        <w:numPr>
          <w:ilvl w:val="2"/>
          <w:numId w:val="0"/>
        </w:numPr>
        <w:tabs>
          <w:tab w:val="left" w:pos="0"/>
          <w:tab w:val="left" w:pos="567"/>
          <w:tab w:val="left" w:pos="851"/>
          <w:tab w:val="left" w:pos="993"/>
          <w:tab w:val="num" w:pos="1134"/>
          <w:tab w:val="left" w:pos="1276"/>
          <w:tab w:val="left" w:pos="2799"/>
        </w:tabs>
        <w:suppressAutoHyphens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CDF" w:rsidRDefault="00064CDF"/>
    <w:sectPr w:rsidR="00064CDF" w:rsidSect="009B3BE8">
      <w:pgSz w:w="11906" w:h="16838"/>
      <w:pgMar w:top="1134" w:right="992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37B" w:rsidRDefault="00FB437B">
      <w:pPr>
        <w:spacing w:after="0" w:line="240" w:lineRule="auto"/>
      </w:pPr>
      <w:r>
        <w:separator/>
      </w:r>
    </w:p>
  </w:endnote>
  <w:endnote w:type="continuationSeparator" w:id="0">
    <w:p w:rsidR="00FB437B" w:rsidRDefault="00FB4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527" w:rsidRDefault="00FB437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527" w:rsidRDefault="00FB43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37B" w:rsidRDefault="00FB437B">
      <w:pPr>
        <w:spacing w:after="0" w:line="240" w:lineRule="auto"/>
      </w:pPr>
      <w:r>
        <w:separator/>
      </w:r>
    </w:p>
  </w:footnote>
  <w:footnote w:type="continuationSeparator" w:id="0">
    <w:p w:rsidR="00FB437B" w:rsidRDefault="00FB43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527" w:rsidRDefault="00FB437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527" w:rsidRDefault="00FB437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6F4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>
    <w:nsid w:val="078A734D"/>
    <w:multiLevelType w:val="multilevel"/>
    <w:tmpl w:val="66006BA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17AD6D2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277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1AFE45E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4">
    <w:nsid w:val="1E0F6CA0"/>
    <w:multiLevelType w:val="multilevel"/>
    <w:tmpl w:val="AEA8ED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5">
    <w:nsid w:val="22804736"/>
    <w:multiLevelType w:val="multilevel"/>
    <w:tmpl w:val="5BF0A23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6">
    <w:nsid w:val="2AD7475D"/>
    <w:multiLevelType w:val="multilevel"/>
    <w:tmpl w:val="15ACD7E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7">
    <w:nsid w:val="39495FC7"/>
    <w:multiLevelType w:val="hybridMultilevel"/>
    <w:tmpl w:val="2920205C"/>
    <w:lvl w:ilvl="0" w:tplc="067E4E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714F0E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9">
    <w:nsid w:val="3F60186A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0">
    <w:nsid w:val="47140269"/>
    <w:multiLevelType w:val="multilevel"/>
    <w:tmpl w:val="3F087A0C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1">
    <w:nsid w:val="47C74DE4"/>
    <w:multiLevelType w:val="multilevel"/>
    <w:tmpl w:val="B25E5CF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2">
    <w:nsid w:val="4A62558F"/>
    <w:multiLevelType w:val="multilevel"/>
    <w:tmpl w:val="BF4079BE"/>
    <w:styleLink w:val="TimesNewRoman12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3">
    <w:nsid w:val="4F165258"/>
    <w:multiLevelType w:val="multilevel"/>
    <w:tmpl w:val="BF4079BE"/>
    <w:styleLink w:val="TimesNewRoman12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>
    <w:nsid w:val="57506FE2"/>
    <w:multiLevelType w:val="hybridMultilevel"/>
    <w:tmpl w:val="A4D2AE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362DF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6">
    <w:nsid w:val="743D116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B9"/>
    <w:rsid w:val="00064CDF"/>
    <w:rsid w:val="0008575A"/>
    <w:rsid w:val="002943B9"/>
    <w:rsid w:val="0062303C"/>
    <w:rsid w:val="007A2F0E"/>
    <w:rsid w:val="009435FD"/>
    <w:rsid w:val="00A301DE"/>
    <w:rsid w:val="00C82D0B"/>
    <w:rsid w:val="00C86B95"/>
    <w:rsid w:val="00CE07A4"/>
    <w:rsid w:val="00D0307F"/>
    <w:rsid w:val="00F31DBC"/>
    <w:rsid w:val="00FB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cp.ru/about/anti-corruption_policy/general_information/" TargetMode="External"/><Relationship Id="rId13" Type="http://schemas.openxmlformats.org/officeDocument/2006/relationships/hyperlink" Target="http://www.rosseti.ru/about/anticorruptionpolicy/policy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4766</Words>
  <Characters>27168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Нестерчук Ирина Ивановна</dc:creator>
  <cp:lastModifiedBy>Нестерчук Ирина Ивановна</cp:lastModifiedBy>
  <cp:revision>7</cp:revision>
  <dcterms:created xsi:type="dcterms:W3CDTF">2017-12-15T12:14:00Z</dcterms:created>
  <dcterms:modified xsi:type="dcterms:W3CDTF">2018-11-19T14:13:00Z</dcterms:modified>
</cp:coreProperties>
</file>